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D9" w:rsidRDefault="00EC13D9" w:rsidP="00EC13D9">
      <w:pPr>
        <w:jc w:val="both"/>
        <w:rPr>
          <w:b/>
          <w:sz w:val="28"/>
          <w:szCs w:val="28"/>
        </w:rPr>
      </w:pPr>
      <w:r w:rsidRPr="00DE07E0">
        <w:rPr>
          <w:b/>
          <w:sz w:val="28"/>
          <w:szCs w:val="28"/>
        </w:rPr>
        <w:t xml:space="preserve">Monitor sastava tijela – </w:t>
      </w:r>
      <w:proofErr w:type="spellStart"/>
      <w:r w:rsidRPr="00DE07E0">
        <w:rPr>
          <w:b/>
          <w:sz w:val="28"/>
          <w:szCs w:val="28"/>
        </w:rPr>
        <w:t>Tanita</w:t>
      </w:r>
      <w:proofErr w:type="spellEnd"/>
      <w:r w:rsidR="007C6768">
        <w:rPr>
          <w:b/>
          <w:sz w:val="28"/>
          <w:szCs w:val="28"/>
        </w:rPr>
        <w:t xml:space="preserve"> (antropometrija)</w:t>
      </w:r>
    </w:p>
    <w:p w:rsidR="00DE07E0" w:rsidRPr="00DE07E0" w:rsidRDefault="00DE07E0" w:rsidP="00EC13D9">
      <w:pPr>
        <w:jc w:val="both"/>
        <w:rPr>
          <w:b/>
          <w:sz w:val="28"/>
          <w:szCs w:val="28"/>
        </w:rPr>
      </w:pP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Zašto kontrolirati sastav tijela?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Monitori sastava tijela doprinose zdravijem životu, dajući nam uvid u ključne indikatore zdravlja, koji nam omogućuju kontrolu učinka našeg promijenjenog stila života:</w:t>
      </w:r>
    </w:p>
    <w:p w:rsidR="00EC13D9" w:rsidRPr="00EC13D9" w:rsidRDefault="00EC13D9" w:rsidP="00EC13D9">
      <w:pPr>
        <w:pStyle w:val="Odlomakpopisa"/>
        <w:numPr>
          <w:ilvl w:val="0"/>
          <w:numId w:val="2"/>
        </w:numPr>
        <w:jc w:val="both"/>
      </w:pPr>
      <w:r w:rsidRPr="00EC13D9">
        <w:t>Utjecaj promjene prehrane na tijelo- osigurava da se hranite zdravo</w:t>
      </w:r>
    </w:p>
    <w:p w:rsidR="00EC13D9" w:rsidRPr="00EC13D9" w:rsidRDefault="00EC13D9" w:rsidP="00EC13D9">
      <w:pPr>
        <w:pStyle w:val="Odlomakpopisa"/>
        <w:numPr>
          <w:ilvl w:val="0"/>
          <w:numId w:val="2"/>
        </w:numPr>
        <w:jc w:val="both"/>
      </w:pPr>
      <w:r w:rsidRPr="00EC13D9">
        <w:t>Fino podešavanje fitnes programa kontrolom mišićne mase i BMR (osnovne metaboličke vrije</w:t>
      </w:r>
      <w:r w:rsidRPr="00EC13D9">
        <w:t>d</w:t>
      </w:r>
      <w:r w:rsidRPr="00EC13D9">
        <w:t>nosti)</w:t>
      </w:r>
    </w:p>
    <w:p w:rsidR="00EC13D9" w:rsidRPr="00EC13D9" w:rsidRDefault="00EC13D9" w:rsidP="00EC13D9">
      <w:pPr>
        <w:pStyle w:val="Odlomakpopisa"/>
        <w:numPr>
          <w:ilvl w:val="0"/>
          <w:numId w:val="2"/>
        </w:numPr>
        <w:jc w:val="both"/>
      </w:pPr>
      <w:r w:rsidRPr="00EC13D9">
        <w:t xml:space="preserve"> Kontrola visceralnog tkiva, ključnog indikatora dijabetesa tipa 2 ili srčane bolesti</w:t>
      </w:r>
    </w:p>
    <w:p w:rsidR="00EC13D9" w:rsidRPr="00EC13D9" w:rsidRDefault="00EC13D9" w:rsidP="00EC13D9">
      <w:pPr>
        <w:pStyle w:val="Odlomakpopisa"/>
        <w:numPr>
          <w:ilvl w:val="0"/>
          <w:numId w:val="2"/>
        </w:numPr>
        <w:jc w:val="both"/>
      </w:pPr>
      <w:r w:rsidRPr="00EC13D9">
        <w:t>Postavljanje ciljanog sastava tijela i kontrola napredovanja prema tom cilju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Kako radi monitor sastava tijela?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EC13D9">
        <w:rPr>
          <w:rFonts w:asciiTheme="minorHAnsi" w:hAnsiTheme="minorHAnsi"/>
          <w:sz w:val="22"/>
          <w:szCs w:val="22"/>
        </w:rPr>
        <w:t>Tanita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monitori sastava tijela izračunavaju sastav vašeg tijela jedinstvenom,</w:t>
      </w:r>
      <w:r w:rsidR="00F87F21">
        <w:rPr>
          <w:rFonts w:asciiTheme="minorHAnsi" w:hAnsiTheme="minorHAnsi"/>
          <w:sz w:val="22"/>
          <w:szCs w:val="22"/>
        </w:rPr>
        <w:t xml:space="preserve"> naprednom tehnologijom trostruk</w:t>
      </w:r>
      <w:r w:rsidRPr="00EC13D9">
        <w:rPr>
          <w:rFonts w:asciiTheme="minorHAnsi" w:hAnsiTheme="minorHAnsi"/>
          <w:sz w:val="22"/>
          <w:szCs w:val="22"/>
        </w:rPr>
        <w:t xml:space="preserve">e frekvencije.  Sigurni, slabi električni signali prolaze kroz tijelo putem patentiranih </w:t>
      </w:r>
      <w:proofErr w:type="spellStart"/>
      <w:r w:rsidRPr="00EC13D9">
        <w:rPr>
          <w:rFonts w:asciiTheme="minorHAnsi" w:hAnsiTheme="minorHAnsi"/>
          <w:sz w:val="22"/>
          <w:szCs w:val="22"/>
        </w:rPr>
        <w:t>Tanita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nožnih elektroda na platformi monitora.  Signal vrlo lako prolazi  kroz tekućine u mišićima i drugim dijelovima tijela, no masno tkivo mu pruža otpor jer sadrži vrlo malo vode. Taj otpor zovemo impedancijom. Za izračunavanje sastava vašeg tijela, očitavanja impedancije se zatim unose u matematičke formule, dobivene medicinskim istraživanjima.</w:t>
      </w:r>
    </w:p>
    <w:p w:rsidR="00EC13D9" w:rsidRDefault="00EC13D9" w:rsidP="00EC13D9">
      <w:pPr>
        <w:jc w:val="both"/>
        <w:rPr>
          <w:rFonts w:asciiTheme="minorHAnsi" w:hAnsiTheme="minorHAnsi" w:cs="Arial"/>
          <w:b/>
          <w:color w:val="646464"/>
          <w:sz w:val="22"/>
          <w:szCs w:val="22"/>
        </w:rPr>
      </w:pPr>
      <w:r w:rsidRPr="00EC13D9">
        <w:rPr>
          <w:rFonts w:asciiTheme="minorHAnsi" w:hAnsiTheme="minorHAnsi" w:cs="Arial"/>
          <w:sz w:val="22"/>
          <w:szCs w:val="22"/>
        </w:rPr>
        <w:t xml:space="preserve">Ovom metodom TANITA može izmjeriti distribuciju masnog tkiva i mišićne mase unutar tijela, a koristeći </w:t>
      </w:r>
      <w:proofErr w:type="spellStart"/>
      <w:r w:rsidRPr="00EC13D9">
        <w:rPr>
          <w:rFonts w:asciiTheme="minorHAnsi" w:hAnsiTheme="minorHAnsi" w:cs="Arial"/>
          <w:sz w:val="22"/>
          <w:szCs w:val="22"/>
        </w:rPr>
        <w:t>segmentalni</w:t>
      </w:r>
      <w:proofErr w:type="spellEnd"/>
      <w:r w:rsidRPr="00EC13D9">
        <w:rPr>
          <w:rFonts w:asciiTheme="minorHAnsi" w:hAnsiTheme="minorHAnsi" w:cs="Arial"/>
          <w:sz w:val="22"/>
          <w:szCs w:val="22"/>
        </w:rPr>
        <w:t xml:space="preserve"> analizator sastava tijela možemo ustanoviti raspodjelu masnog tkiva i mišićne mase unutar </w:t>
      </w:r>
      <w:r w:rsidRPr="00EC13D9">
        <w:rPr>
          <w:rStyle w:val="Naglaeno"/>
          <w:rFonts w:asciiTheme="minorHAnsi" w:hAnsiTheme="minorHAnsi" w:cs="Arial"/>
          <w:b w:val="0"/>
          <w:sz w:val="22"/>
          <w:szCs w:val="22"/>
        </w:rPr>
        <w:t>svih pojedinih ekstremiteta i trupa</w:t>
      </w:r>
      <w:r w:rsidRPr="00EC13D9">
        <w:rPr>
          <w:rFonts w:asciiTheme="minorHAnsi" w:hAnsiTheme="minorHAnsi" w:cs="Arial"/>
          <w:b/>
          <w:color w:val="646464"/>
          <w:sz w:val="22"/>
          <w:szCs w:val="22"/>
        </w:rPr>
        <w:t>.</w:t>
      </w:r>
    </w:p>
    <w:p w:rsidR="00DE07E0" w:rsidRPr="00EC13D9" w:rsidRDefault="00DE07E0" w:rsidP="00EC13D9">
      <w:pPr>
        <w:jc w:val="both"/>
        <w:rPr>
          <w:rFonts w:asciiTheme="minorHAnsi" w:hAnsiTheme="minorHAnsi"/>
          <w:sz w:val="22"/>
          <w:szCs w:val="22"/>
        </w:rPr>
      </w:pP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Što nam govori indeks tjelesne mase-BMI (</w:t>
      </w:r>
      <w:proofErr w:type="spellStart"/>
      <w:r w:rsidRPr="00EC13D9">
        <w:rPr>
          <w:rFonts w:asciiTheme="minorHAnsi" w:hAnsiTheme="minorHAnsi"/>
          <w:b/>
          <w:sz w:val="22"/>
          <w:szCs w:val="22"/>
        </w:rPr>
        <w:t>body</w:t>
      </w:r>
      <w:proofErr w:type="spellEnd"/>
      <w:r w:rsidRPr="00EC13D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C13D9">
        <w:rPr>
          <w:rFonts w:asciiTheme="minorHAnsi" w:hAnsiTheme="minorHAnsi"/>
          <w:b/>
          <w:sz w:val="22"/>
          <w:szCs w:val="22"/>
        </w:rPr>
        <w:t>mass</w:t>
      </w:r>
      <w:proofErr w:type="spellEnd"/>
      <w:r w:rsidRPr="00EC13D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C13D9">
        <w:rPr>
          <w:rFonts w:asciiTheme="minorHAnsi" w:hAnsiTheme="minorHAnsi"/>
          <w:b/>
          <w:sz w:val="22"/>
          <w:szCs w:val="22"/>
        </w:rPr>
        <w:t>index</w:t>
      </w:r>
      <w:proofErr w:type="spellEnd"/>
      <w:r w:rsidRPr="00EC13D9">
        <w:rPr>
          <w:rFonts w:asciiTheme="minorHAnsi" w:hAnsiTheme="minorHAnsi"/>
          <w:b/>
          <w:sz w:val="22"/>
          <w:szCs w:val="22"/>
        </w:rPr>
        <w:t>)?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 xml:space="preserve">Stanje uhranjenosti osobe početno se procjenjuje mjerenjem težine i visine. Odnos između težine i visine naziva se indeks tjelesne mase-BMI. </w:t>
      </w:r>
      <w:r w:rsidRPr="001D7FF2">
        <w:rPr>
          <w:rFonts w:asciiTheme="minorHAnsi" w:hAnsiTheme="minorHAnsi" w:cs="Arial"/>
          <w:sz w:val="22"/>
          <w:szCs w:val="22"/>
          <w:shd w:val="clear" w:color="auto" w:fill="FFFFFF"/>
        </w:rPr>
        <w:t>Vrijednosti preporučenog BMI-a iste su za oba spola, on iznosi od </w:t>
      </w:r>
      <w:r w:rsidRPr="001D7FF2">
        <w:rPr>
          <w:rFonts w:asciiTheme="minorHAnsi" w:hAnsiTheme="minorHAnsi" w:cs="Arial"/>
          <w:bCs/>
          <w:sz w:val="22"/>
          <w:szCs w:val="22"/>
          <w:shd w:val="clear" w:color="auto" w:fill="FFFFFF"/>
        </w:rPr>
        <w:t>18,5 – 24,9</w:t>
      </w:r>
      <w:r w:rsidRPr="001D7FF2">
        <w:rPr>
          <w:rFonts w:asciiTheme="minorHAnsi" w:hAnsiTheme="minorHAnsi" w:cs="Arial"/>
          <w:b/>
          <w:bCs/>
          <w:sz w:val="22"/>
          <w:szCs w:val="22"/>
          <w:shd w:val="clear" w:color="auto" w:fill="FFFFFF"/>
        </w:rPr>
        <w:t xml:space="preserve"> </w:t>
      </w:r>
      <w:r w:rsidRPr="001D7FF2">
        <w:rPr>
          <w:rFonts w:asciiTheme="minorHAnsi" w:hAnsiTheme="minorHAnsi" w:cs="Arial"/>
          <w:bCs/>
          <w:sz w:val="22"/>
          <w:szCs w:val="22"/>
          <w:shd w:val="clear" w:color="auto" w:fill="FFFFFF"/>
        </w:rPr>
        <w:t>kg/m2</w:t>
      </w:r>
      <w:r w:rsidRPr="001D7FF2">
        <w:rPr>
          <w:rFonts w:asciiTheme="minorHAnsi" w:hAnsiTheme="minorHAnsi" w:cs="Arial"/>
          <w:sz w:val="22"/>
          <w:szCs w:val="22"/>
          <w:shd w:val="clear" w:color="auto" w:fill="FFFFFF"/>
        </w:rPr>
        <w:t> prema klasifikaciji Svjetske zdravstvene organizacije .</w:t>
      </w:r>
      <w:r w:rsidRPr="00EC13D9">
        <w:rPr>
          <w:rFonts w:asciiTheme="minorHAnsi" w:hAnsiTheme="minorHAnsi" w:cs="Arial"/>
          <w:color w:val="444444"/>
          <w:sz w:val="22"/>
          <w:szCs w:val="22"/>
          <w:shd w:val="clear" w:color="auto" w:fill="FFFFFF"/>
        </w:rPr>
        <w:t xml:space="preserve"> </w:t>
      </w:r>
      <w:r w:rsidRPr="00EC13D9">
        <w:rPr>
          <w:rFonts w:asciiTheme="minorHAnsi" w:hAnsiTheme="minorHAnsi"/>
          <w:sz w:val="22"/>
          <w:szCs w:val="22"/>
        </w:rPr>
        <w:t>Vrijednosti BMI-a ispod 18,5 upućuju na pothranjenost, 25,0 – 29,9 na prekomjernu tjelesnu masu, a više od 30,0 na pretilost.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Temeljem BMI-a nije moguće donijeti zaključke o sastavu tijela ili proporciji težine koja se odnosi na mišiće, masti i vodu.</w:t>
      </w:r>
    </w:p>
    <w:p w:rsidR="00EC13D9" w:rsidRPr="00EC13D9" w:rsidRDefault="00EC13D9" w:rsidP="00EC13D9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</w:p>
    <w:p w:rsidR="00EC13D9" w:rsidRPr="00EC13D9" w:rsidRDefault="00EC13D9" w:rsidP="00EC13D9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EC13D9">
        <w:rPr>
          <w:rFonts w:asciiTheme="minorHAnsi" w:hAnsiTheme="minorHAnsi" w:cs="Arial"/>
          <w:b/>
          <w:sz w:val="22"/>
          <w:szCs w:val="22"/>
          <w:shd w:val="clear" w:color="auto" w:fill="FFFFFF"/>
        </w:rPr>
        <w:t>Što je postotak potkožnog masnog tkiva-PMT?</w:t>
      </w:r>
    </w:p>
    <w:p w:rsidR="00EC13D9" w:rsidRPr="00EC13D9" w:rsidRDefault="00EC13D9" w:rsidP="00EC13D9">
      <w:pPr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EC13D9">
        <w:rPr>
          <w:rFonts w:asciiTheme="minorHAnsi" w:hAnsiTheme="minorHAnsi" w:cs="Arial"/>
          <w:sz w:val="22"/>
          <w:szCs w:val="22"/>
          <w:shd w:val="clear" w:color="auto" w:fill="FFFFFF"/>
        </w:rPr>
        <w:t>Postotak potkožnog masnog tkiva je količina PMT u odnosu na težinu tijela. Preporučene vrijednosti potkožnog masnog tkiva različite su u odnosu na dob, spol i tjelesn</w:t>
      </w:r>
      <w:r w:rsidR="00F87F21">
        <w:rPr>
          <w:rFonts w:asciiTheme="minorHAnsi" w:hAnsiTheme="minorHAnsi" w:cs="Arial"/>
          <w:sz w:val="22"/>
          <w:szCs w:val="22"/>
          <w:shd w:val="clear" w:color="auto" w:fill="FFFFFF"/>
        </w:rPr>
        <w:t>u</w:t>
      </w:r>
      <w:r w:rsidRPr="00EC13D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aktivnost osobe. Redukcijom prevelike razine PMT smanjuje se rizik od visokog krv</w:t>
      </w:r>
      <w:r w:rsidR="00F87F21">
        <w:rPr>
          <w:rFonts w:asciiTheme="minorHAnsi" w:hAnsiTheme="minorHAnsi" w:cs="Arial"/>
          <w:sz w:val="22"/>
          <w:szCs w:val="22"/>
          <w:shd w:val="clear" w:color="auto" w:fill="FFFFFF"/>
        </w:rPr>
        <w:t>n</w:t>
      </w:r>
      <w:r w:rsidRPr="00EC13D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og tlaka, srčanih bolesti, dijabetesa i </w:t>
      </w:r>
      <w:proofErr w:type="spellStart"/>
      <w:r w:rsidRPr="00EC13D9">
        <w:rPr>
          <w:rFonts w:asciiTheme="minorHAnsi" w:hAnsiTheme="minorHAnsi" w:cs="Arial"/>
          <w:sz w:val="22"/>
          <w:szCs w:val="22"/>
          <w:shd w:val="clear" w:color="auto" w:fill="FFFFFF"/>
        </w:rPr>
        <w:t>dr</w:t>
      </w:r>
      <w:proofErr w:type="spellEnd"/>
      <w:r w:rsidRPr="00EC13D9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:rsidR="00EC13D9" w:rsidRPr="00EC13D9" w:rsidRDefault="00EC13D9" w:rsidP="00EC13D9">
      <w:pPr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Što je ukupni postotak tjelesne vode? TBW</w:t>
      </w:r>
    </w:p>
    <w:p w:rsid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 xml:space="preserve">Udio ukupne vode u tijelu (TBW) iznosi oko 60% tjelesne težine zdrave odrasle osobe. Taj udio opada prema starosti. Kod zdrave osobe, 2/3 ukupne tjelesne vode nalazi se unutar somatskih stanica, </w:t>
      </w:r>
      <w:proofErr w:type="spellStart"/>
      <w:r w:rsidRPr="00EC13D9">
        <w:rPr>
          <w:rFonts w:asciiTheme="minorHAnsi" w:hAnsiTheme="minorHAnsi"/>
          <w:sz w:val="22"/>
          <w:szCs w:val="22"/>
        </w:rPr>
        <w:t>tzv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C13D9">
        <w:rPr>
          <w:rFonts w:asciiTheme="minorHAnsi" w:hAnsiTheme="minorHAnsi"/>
          <w:sz w:val="22"/>
          <w:szCs w:val="22"/>
        </w:rPr>
        <w:t>unutarstanična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tekućina ICW, dok se 1/3 ukupne tjelesne vode nalazi izvan stanica, </w:t>
      </w:r>
      <w:proofErr w:type="spellStart"/>
      <w:r w:rsidRPr="00EC13D9">
        <w:rPr>
          <w:rFonts w:asciiTheme="minorHAnsi" w:hAnsiTheme="minorHAnsi"/>
          <w:sz w:val="22"/>
          <w:szCs w:val="22"/>
        </w:rPr>
        <w:t>tzv.izvanstanična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tekućina ECW. </w:t>
      </w:r>
      <w:proofErr w:type="spellStart"/>
      <w:r w:rsidRPr="00EC13D9">
        <w:rPr>
          <w:rFonts w:asciiTheme="minorHAnsi" w:hAnsiTheme="minorHAnsi"/>
          <w:sz w:val="22"/>
          <w:szCs w:val="22"/>
        </w:rPr>
        <w:t>Hidratacija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pokazuje raspodjelu vode u tijelu. 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Što je razina visceralnog masnog tkiva?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Visceralno masno tkivo se nalazi u abdominalnoj šupljini a okružuje vitalne organe u trupu (abdominalnom području). Održavanjem zdrave razine visceralnog masnog tkiva smanjuje se opasnost od bolesti kao što su srčane bolesti, visokog krvnog tlaka, dijabetesa tipa 2…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Raspon od 1 do 12 – zdrav raspon visceralnog masnog tkiva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Raspon od 13 do 59- prevelika vrijednost visceralnog masnog tkiva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>Što je to bazalni metabolizam BMR?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 xml:space="preserve">Bazalni metabolizam je minimum potrebne energije za dnevno održavanje tjelesnih funkcija u stanju odmora a uključuje održavanje tjelesne temperature, disanje, rad srca, živčanog sustava, </w:t>
      </w:r>
      <w:proofErr w:type="spellStart"/>
      <w:r w:rsidRPr="00EC13D9">
        <w:rPr>
          <w:rFonts w:asciiTheme="minorHAnsi" w:hAnsiTheme="minorHAnsi"/>
          <w:sz w:val="22"/>
          <w:szCs w:val="22"/>
        </w:rPr>
        <w:t>jetre</w:t>
      </w:r>
      <w:proofErr w:type="spellEnd"/>
      <w:r w:rsidRPr="00EC13D9">
        <w:rPr>
          <w:rFonts w:asciiTheme="minorHAnsi" w:hAnsiTheme="minorHAnsi"/>
          <w:sz w:val="22"/>
          <w:szCs w:val="22"/>
        </w:rPr>
        <w:t xml:space="preserve"> i ostalih organa. Bazalni metabolizam ovisi o dobi, težini, visini i spolu osobe i ima udio od oko 60-70% u ukupnoj potrošnji energije.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 w:rsidRPr="00EC13D9"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  <w:t>Što je to metabolička starost?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  <w:r w:rsidRPr="00EC13D9">
        <w:rPr>
          <w:rFonts w:asciiTheme="minorHAnsi" w:hAnsiTheme="minorHAnsi"/>
          <w:color w:val="000000"/>
          <w:sz w:val="22"/>
          <w:szCs w:val="22"/>
        </w:rPr>
        <w:t>Ova funkcija izračunava vaš BMR i prosječnu dob povezanu s takvim tipom metabolizma.</w:t>
      </w:r>
      <w:r w:rsidRPr="00EC13D9">
        <w:rPr>
          <w:rFonts w:asciiTheme="minorHAnsi" w:hAnsiTheme="minorHAnsi"/>
          <w:color w:val="000000"/>
          <w:sz w:val="22"/>
          <w:szCs w:val="22"/>
        </w:rPr>
        <w:br/>
        <w:t>Ako je vaša metabolička starost viša od vaše stvarne dobi to indicira da trebate poboljšati brzinu vašeg</w:t>
      </w:r>
      <w:r w:rsidRPr="00EC13D9">
        <w:rPr>
          <w:rFonts w:asciiTheme="minorHAnsi" w:hAnsiTheme="minorHAnsi"/>
          <w:color w:val="000000"/>
          <w:sz w:val="22"/>
          <w:szCs w:val="22"/>
        </w:rPr>
        <w:br/>
        <w:t>metabolizma. Pojačanim vježbanjem izgradit ćete mišićno tkivo koje će ubrzati vaš metabolizam.</w:t>
      </w:r>
    </w:p>
    <w:p w:rsidR="00EC13D9" w:rsidRPr="00EC13D9" w:rsidRDefault="00EC13D9" w:rsidP="00EC13D9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r w:rsidRPr="00EC13D9">
        <w:rPr>
          <w:rFonts w:asciiTheme="minorHAnsi" w:hAnsiTheme="minorHAnsi" w:cs="Arial"/>
          <w:b/>
          <w:sz w:val="22"/>
          <w:szCs w:val="22"/>
          <w:shd w:val="clear" w:color="auto" w:fill="FFFFFF"/>
        </w:rPr>
        <w:t>Omjer struka i kukova –WHR</w:t>
      </w:r>
    </w:p>
    <w:p w:rsidR="00EC13D9" w:rsidRPr="00EC13D9" w:rsidRDefault="00EC13D9" w:rsidP="00EC13D9">
      <w:pPr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>Jednostavna metoda koja se najčešće koristi za ocjenu raspodjele masnog tkiva po pojedinim dijelovima tijela je omjer opsega bokova i struka - WHR (</w:t>
      </w:r>
      <w:proofErr w:type="spellStart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>eng</w:t>
      </w:r>
      <w:proofErr w:type="spellEnd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. </w:t>
      </w:r>
      <w:proofErr w:type="spellStart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>Waist</w:t>
      </w:r>
      <w:proofErr w:type="spellEnd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 to hip </w:t>
      </w:r>
      <w:proofErr w:type="spellStart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>ratio</w:t>
      </w:r>
      <w:proofErr w:type="spellEnd"/>
      <w:r w:rsidRPr="00EC13D9">
        <w:rPr>
          <w:rFonts w:asciiTheme="minorHAnsi" w:hAnsiTheme="minorHAnsi" w:cs="Segoe UI"/>
          <w:sz w:val="22"/>
          <w:szCs w:val="22"/>
          <w:shd w:val="clear" w:color="auto" w:fill="FFFFFF"/>
        </w:rPr>
        <w:t xml:space="preserve">). </w:t>
      </w:r>
      <w:r w:rsidRPr="00EC13D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WHR računa se na način da se opseg struka podijeli s opsegom bokova. Za žene, idealan omjer je od 0.71 do 0.85, a</w:t>
      </w:r>
      <w:r w:rsidRPr="00EC13D9">
        <w:rPr>
          <w:rFonts w:asciiTheme="minorHAnsi" w:hAnsiTheme="minorHAnsi"/>
          <w:color w:val="000000"/>
          <w:sz w:val="22"/>
          <w:szCs w:val="22"/>
        </w:rPr>
        <w:br/>
      </w:r>
      <w:r w:rsidRPr="00EC13D9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 muškarce od 0.78 do 0.94.</w:t>
      </w:r>
    </w:p>
    <w:p w:rsidR="00EC13D9" w:rsidRPr="00EC13D9" w:rsidRDefault="00EC13D9" w:rsidP="00EC13D9">
      <w:pPr>
        <w:jc w:val="both"/>
        <w:rPr>
          <w:rFonts w:asciiTheme="minorHAnsi" w:hAnsiTheme="minorHAnsi" w:cs="Segoe UI"/>
          <w:color w:val="212529"/>
          <w:sz w:val="22"/>
          <w:szCs w:val="22"/>
          <w:shd w:val="clear" w:color="auto" w:fill="FFFFFF"/>
        </w:rPr>
      </w:pPr>
      <w:r w:rsidRPr="00EC13D9">
        <w:rPr>
          <w:rFonts w:asciiTheme="minorHAnsi" w:hAnsiTheme="minorHAnsi"/>
          <w:b/>
          <w:sz w:val="22"/>
          <w:szCs w:val="22"/>
        </w:rPr>
        <w:t>Što je to fazni kut?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sz w:val="22"/>
          <w:szCs w:val="22"/>
        </w:rPr>
        <w:t>Fazni kut je mjera za količinu i kvalitetu somatskih stanica. Veće vrijednosti faznoga kuta upućuju na dobro zdravlje,  a niske vrijednosti ukazuju na lošiji status zdravlja. Vrijednost varira od pojedinca do pojedinca, a s godinama se smanjuje vrijednost faznog kuta.</w:t>
      </w:r>
    </w:p>
    <w:p w:rsidR="00EC13D9" w:rsidRPr="00EC13D9" w:rsidRDefault="00EC13D9" w:rsidP="00EC13D9">
      <w:pPr>
        <w:jc w:val="both"/>
        <w:rPr>
          <w:rFonts w:asciiTheme="minorHAnsi" w:hAnsiTheme="minorHAnsi"/>
          <w:b/>
          <w:sz w:val="22"/>
          <w:szCs w:val="22"/>
        </w:rPr>
      </w:pPr>
      <w:r w:rsidRPr="00EC13D9">
        <w:rPr>
          <w:rFonts w:asciiTheme="minorHAnsi" w:hAnsiTheme="minorHAnsi"/>
          <w:b/>
          <w:sz w:val="22"/>
          <w:szCs w:val="22"/>
        </w:rPr>
        <w:t xml:space="preserve">Što je to </w:t>
      </w:r>
      <w:proofErr w:type="spellStart"/>
      <w:r w:rsidRPr="00EC13D9">
        <w:rPr>
          <w:rFonts w:asciiTheme="minorHAnsi" w:hAnsiTheme="minorHAnsi"/>
          <w:b/>
          <w:sz w:val="22"/>
          <w:szCs w:val="22"/>
        </w:rPr>
        <w:t>sarkopenija</w:t>
      </w:r>
      <w:proofErr w:type="spellEnd"/>
      <w:r w:rsidRPr="00EC13D9">
        <w:rPr>
          <w:rFonts w:asciiTheme="minorHAnsi" w:hAnsiTheme="minorHAnsi"/>
          <w:b/>
          <w:sz w:val="22"/>
          <w:szCs w:val="22"/>
        </w:rPr>
        <w:t xml:space="preserve"> indeks SMI? </w:t>
      </w:r>
    </w:p>
    <w:p w:rsidR="00EC13D9" w:rsidRPr="00EC13D9" w:rsidRDefault="00EC13D9" w:rsidP="00EC13D9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EC13D9">
        <w:rPr>
          <w:rFonts w:asciiTheme="minorHAnsi" w:hAnsiTheme="minorHAnsi"/>
          <w:sz w:val="22"/>
          <w:szCs w:val="22"/>
        </w:rPr>
        <w:t>Sarkopenija</w:t>
      </w:r>
      <w:proofErr w:type="spellEnd"/>
      <w:r w:rsidRPr="00EC13D9">
        <w:rPr>
          <w:rFonts w:asciiTheme="minorHAnsi" w:hAnsiTheme="minorHAnsi"/>
          <w:sz w:val="22"/>
          <w:szCs w:val="22"/>
        </w:rPr>
        <w:t>, odnosno smanjena mišićna masa i snaga, pojam je koji se više ne veže samo uz stariju dob. Utvrđeno je kako ju može prouzročiti i niz drugih čimbenika, među kojima je i prisutnost pojedinih vrsta bolesti.</w:t>
      </w:r>
    </w:p>
    <w:p w:rsidR="00110AC5" w:rsidRPr="00DE07E0" w:rsidRDefault="00110AC5" w:rsidP="00EC13D9">
      <w:pPr>
        <w:jc w:val="both"/>
        <w:rPr>
          <w:rFonts w:asciiTheme="minorHAnsi" w:hAnsiTheme="minorHAnsi"/>
          <w:b/>
          <w:sz w:val="22"/>
          <w:szCs w:val="22"/>
        </w:rPr>
      </w:pPr>
    </w:p>
    <w:sectPr w:rsidR="00110AC5" w:rsidRPr="00DE07E0" w:rsidSect="002370E2">
      <w:headerReference w:type="default" r:id="rId7"/>
      <w:footerReference w:type="default" r:id="rId8"/>
      <w:pgSz w:w="11906" w:h="16838"/>
      <w:pgMar w:top="4423" w:right="1588" w:bottom="283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26" w:rsidRDefault="00164226" w:rsidP="0019707A">
      <w:r>
        <w:separator/>
      </w:r>
    </w:p>
  </w:endnote>
  <w:endnote w:type="continuationSeparator" w:id="0">
    <w:p w:rsidR="00164226" w:rsidRDefault="00164226" w:rsidP="0019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A" w:rsidRDefault="0019707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-1008354</wp:posOffset>
          </wp:positionH>
          <wp:positionV relativeFrom="paragraph">
            <wp:posOffset>-813596</wp:posOffset>
          </wp:positionV>
          <wp:extent cx="7587718" cy="1441441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7718" cy="1441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26" w:rsidRDefault="00164226" w:rsidP="0019707A">
      <w:r w:rsidRPr="0019707A">
        <w:rPr>
          <w:color w:val="000000"/>
        </w:rPr>
        <w:separator/>
      </w:r>
    </w:p>
  </w:footnote>
  <w:footnote w:type="continuationSeparator" w:id="0">
    <w:p w:rsidR="00164226" w:rsidRDefault="00164226" w:rsidP="0019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7A" w:rsidRDefault="0019707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1321" cy="2174763"/>
          <wp:effectExtent l="0" t="0" r="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321" cy="21747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6FB"/>
    <w:multiLevelType w:val="hybridMultilevel"/>
    <w:tmpl w:val="92E62424"/>
    <w:lvl w:ilvl="0" w:tplc="CE005516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102BB"/>
    <w:multiLevelType w:val="hybridMultilevel"/>
    <w:tmpl w:val="6316E1EA"/>
    <w:lvl w:ilvl="0" w:tplc="30605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07A"/>
    <w:rsid w:val="00085615"/>
    <w:rsid w:val="000F6776"/>
    <w:rsid w:val="00110AC5"/>
    <w:rsid w:val="00164226"/>
    <w:rsid w:val="0019707A"/>
    <w:rsid w:val="001B631E"/>
    <w:rsid w:val="001D7FF2"/>
    <w:rsid w:val="002370E2"/>
    <w:rsid w:val="002B36C1"/>
    <w:rsid w:val="002C011C"/>
    <w:rsid w:val="00323304"/>
    <w:rsid w:val="00353249"/>
    <w:rsid w:val="003E022C"/>
    <w:rsid w:val="003E2623"/>
    <w:rsid w:val="003F0CEE"/>
    <w:rsid w:val="004307D4"/>
    <w:rsid w:val="00452321"/>
    <w:rsid w:val="004B6986"/>
    <w:rsid w:val="005304DB"/>
    <w:rsid w:val="005F3684"/>
    <w:rsid w:val="00605355"/>
    <w:rsid w:val="00671759"/>
    <w:rsid w:val="00676776"/>
    <w:rsid w:val="006C2E12"/>
    <w:rsid w:val="007235A5"/>
    <w:rsid w:val="00771CE6"/>
    <w:rsid w:val="007C6768"/>
    <w:rsid w:val="00804207"/>
    <w:rsid w:val="008A6FEC"/>
    <w:rsid w:val="008F19B2"/>
    <w:rsid w:val="00920A4D"/>
    <w:rsid w:val="00947346"/>
    <w:rsid w:val="00966A88"/>
    <w:rsid w:val="009B209A"/>
    <w:rsid w:val="009E116E"/>
    <w:rsid w:val="009F0EC3"/>
    <w:rsid w:val="00A66552"/>
    <w:rsid w:val="00A72385"/>
    <w:rsid w:val="00A739AD"/>
    <w:rsid w:val="00AB19A1"/>
    <w:rsid w:val="00AD2757"/>
    <w:rsid w:val="00BC004F"/>
    <w:rsid w:val="00BF38CF"/>
    <w:rsid w:val="00BF7999"/>
    <w:rsid w:val="00C01737"/>
    <w:rsid w:val="00C25CCA"/>
    <w:rsid w:val="00C64E06"/>
    <w:rsid w:val="00C96902"/>
    <w:rsid w:val="00CC19AC"/>
    <w:rsid w:val="00D90F85"/>
    <w:rsid w:val="00DD35AE"/>
    <w:rsid w:val="00DE07E0"/>
    <w:rsid w:val="00E16AA8"/>
    <w:rsid w:val="00E275A6"/>
    <w:rsid w:val="00E7566C"/>
    <w:rsid w:val="00E902B3"/>
    <w:rsid w:val="00EA3AB2"/>
    <w:rsid w:val="00EC13D9"/>
    <w:rsid w:val="00F41D93"/>
    <w:rsid w:val="00F87F21"/>
    <w:rsid w:val="00FC3FD0"/>
    <w:rsid w:val="00F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hr-HR" w:eastAsia="hr-H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707A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707A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rsid w:val="0019707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19707A"/>
    <w:pPr>
      <w:spacing w:after="120"/>
    </w:pPr>
  </w:style>
  <w:style w:type="paragraph" w:styleId="Popis">
    <w:name w:val="List"/>
    <w:basedOn w:val="Textbody"/>
    <w:rsid w:val="0019707A"/>
    <w:rPr>
      <w:rFonts w:cs="Mangal"/>
    </w:rPr>
  </w:style>
  <w:style w:type="paragraph" w:customStyle="1" w:styleId="Caption">
    <w:name w:val="Caption"/>
    <w:basedOn w:val="Standard"/>
    <w:rsid w:val="001970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707A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19707A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Standard"/>
    <w:rsid w:val="0019707A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Standard"/>
    <w:rsid w:val="001970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9707A"/>
    <w:pPr>
      <w:suppressLineNumbers/>
    </w:pPr>
  </w:style>
  <w:style w:type="paragraph" w:customStyle="1" w:styleId="TableHeading">
    <w:name w:val="Table Heading"/>
    <w:basedOn w:val="TableContents"/>
    <w:rsid w:val="0019707A"/>
    <w:pPr>
      <w:jc w:val="center"/>
    </w:pPr>
    <w:rPr>
      <w:b/>
      <w:bCs/>
    </w:rPr>
  </w:style>
  <w:style w:type="character" w:customStyle="1" w:styleId="ZaglavljeChar">
    <w:name w:val="Zaglavlje Char"/>
    <w:basedOn w:val="Zadanifontodlomka"/>
    <w:rsid w:val="0019707A"/>
  </w:style>
  <w:style w:type="character" w:customStyle="1" w:styleId="PodnojeChar">
    <w:name w:val="Podnožje Char"/>
    <w:basedOn w:val="Zadanifontodlomka"/>
    <w:rsid w:val="0019707A"/>
  </w:style>
  <w:style w:type="character" w:customStyle="1" w:styleId="TekstbaloniaChar">
    <w:name w:val="Tekst balončića Char"/>
    <w:basedOn w:val="Zadanifontodlomka"/>
    <w:rsid w:val="0019707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rsid w:val="0019707A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rsid w:val="0019707A"/>
  </w:style>
  <w:style w:type="paragraph" w:styleId="Podnoje">
    <w:name w:val="footer"/>
    <w:basedOn w:val="Normal"/>
    <w:rsid w:val="0019707A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rsid w:val="0019707A"/>
  </w:style>
  <w:style w:type="paragraph" w:styleId="Odlomakpopisa">
    <w:name w:val="List Paragraph"/>
    <w:basedOn w:val="Normal"/>
    <w:uiPriority w:val="34"/>
    <w:qFormat/>
    <w:rsid w:val="0035324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017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01737"/>
    <w:rPr>
      <w:rFonts w:ascii="Courier New" w:eastAsia="Times New Roman" w:hAnsi="Courier New" w:cs="Courier New"/>
      <w:kern w:val="0"/>
    </w:rPr>
  </w:style>
  <w:style w:type="character" w:customStyle="1" w:styleId="fontstyle01">
    <w:name w:val="fontstyle01"/>
    <w:basedOn w:val="Zadanifontodlomka"/>
    <w:rsid w:val="00A6655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2370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Naglaeno">
    <w:name w:val="Strong"/>
    <w:basedOn w:val="Zadanifontodlomka"/>
    <w:uiPriority w:val="22"/>
    <w:qFormat/>
    <w:rsid w:val="00EC1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marketing</cp:lastModifiedBy>
  <cp:revision>2</cp:revision>
  <cp:lastPrinted>2021-10-18T12:26:00Z</cp:lastPrinted>
  <dcterms:created xsi:type="dcterms:W3CDTF">2023-05-26T10:48:00Z</dcterms:created>
  <dcterms:modified xsi:type="dcterms:W3CDTF">2023-05-26T10:48:00Z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 Corporation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